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FF" w:rsidRDefault="00CA1BFF" w:rsidP="00CA1BFF">
      <w:bookmarkStart w:id="0" w:name="_Toc382916791"/>
      <w:bookmarkStart w:id="1" w:name="_Toc359503799"/>
      <w:bookmarkStart w:id="2" w:name="_Toc358372280"/>
    </w:p>
    <w:p w:rsidR="00CA1BFF" w:rsidRPr="006652C4" w:rsidRDefault="00CA1BFF" w:rsidP="00CA1BFF">
      <w:pPr>
        <w:jc w:val="center"/>
        <w:rPr>
          <w:b/>
          <w:bCs/>
          <w:sz w:val="44"/>
          <w:szCs w:val="44"/>
        </w:rPr>
      </w:pPr>
    </w:p>
    <w:p w:rsidR="00CA1BFF" w:rsidRDefault="00CA1BFF" w:rsidP="00CA1BFF">
      <w:pPr>
        <w:tabs>
          <w:tab w:val="left" w:pos="3552"/>
        </w:tabs>
        <w:jc w:val="center"/>
        <w:rPr>
          <w:b/>
          <w:bCs/>
          <w:sz w:val="44"/>
          <w:szCs w:val="44"/>
        </w:rPr>
      </w:pPr>
    </w:p>
    <w:p w:rsidR="00CA1BFF" w:rsidRPr="006652C4" w:rsidRDefault="00CA1BFF" w:rsidP="00CA1BFF">
      <w:pPr>
        <w:jc w:val="center"/>
        <w:rPr>
          <w:b/>
          <w:bCs/>
          <w:sz w:val="44"/>
          <w:szCs w:val="44"/>
        </w:rPr>
      </w:pPr>
    </w:p>
    <w:p w:rsidR="00CA1BFF" w:rsidRDefault="00CA1BFF" w:rsidP="00CA1BFF">
      <w:pPr>
        <w:jc w:val="center"/>
        <w:rPr>
          <w:b/>
          <w:bCs/>
          <w:sz w:val="40"/>
          <w:szCs w:val="40"/>
        </w:rPr>
      </w:pPr>
    </w:p>
    <w:p w:rsidR="00CA1BFF" w:rsidRPr="007701F7" w:rsidRDefault="00CA1BFF" w:rsidP="00CA1BFF">
      <w:pPr>
        <w:jc w:val="center"/>
        <w:rPr>
          <w:b/>
          <w:bCs/>
          <w:szCs w:val="40"/>
        </w:rPr>
      </w:pPr>
    </w:p>
    <w:p w:rsidR="00CA1BFF" w:rsidRDefault="00CA1BFF" w:rsidP="00CA1BFF">
      <w:pPr>
        <w:jc w:val="center"/>
        <w:rPr>
          <w:b/>
          <w:bCs/>
          <w:sz w:val="40"/>
          <w:szCs w:val="40"/>
        </w:rPr>
      </w:pPr>
      <w:r w:rsidRPr="00CA1BFF">
        <w:rPr>
          <w:b/>
          <w:bCs/>
          <w:sz w:val="40"/>
          <w:szCs w:val="40"/>
        </w:rPr>
        <w:t>Business</w:t>
      </w:r>
      <w:r>
        <w:rPr>
          <w:b/>
          <w:bCs/>
          <w:sz w:val="40"/>
          <w:szCs w:val="40"/>
        </w:rPr>
        <w:t xml:space="preserve"> </w:t>
      </w:r>
      <w:r w:rsidRPr="00CA1BFF">
        <w:rPr>
          <w:b/>
          <w:bCs/>
          <w:sz w:val="40"/>
          <w:szCs w:val="40"/>
        </w:rPr>
        <w:t>Management</w:t>
      </w:r>
      <w:r>
        <w:rPr>
          <w:b/>
          <w:bCs/>
          <w:sz w:val="40"/>
          <w:szCs w:val="40"/>
        </w:rPr>
        <w:t xml:space="preserve"> </w:t>
      </w:r>
      <w:r w:rsidRPr="00CA1BFF">
        <w:rPr>
          <w:b/>
          <w:bCs/>
          <w:sz w:val="40"/>
          <w:szCs w:val="40"/>
        </w:rPr>
        <w:t>and</w:t>
      </w:r>
      <w:r>
        <w:rPr>
          <w:b/>
          <w:bCs/>
          <w:sz w:val="40"/>
          <w:szCs w:val="40"/>
        </w:rPr>
        <w:t xml:space="preserve"> </w:t>
      </w:r>
      <w:r w:rsidRPr="00CA1BFF">
        <w:rPr>
          <w:b/>
          <w:bCs/>
          <w:sz w:val="40"/>
          <w:szCs w:val="40"/>
        </w:rPr>
        <w:t>Enterprise</w:t>
      </w:r>
    </w:p>
    <w:p w:rsidR="00CA1BFF" w:rsidRPr="0074708C" w:rsidRDefault="00CA1BFF" w:rsidP="00CA1BFF">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CA1BFF" w:rsidRPr="0065454B" w:rsidRDefault="00CA1BFF" w:rsidP="00CA1BFF">
      <w:pPr>
        <w:jc w:val="center"/>
        <w:rPr>
          <w:rStyle w:val="Strong"/>
        </w:rPr>
      </w:pPr>
    </w:p>
    <w:p w:rsidR="00CA1BFF" w:rsidRPr="0074708C" w:rsidRDefault="00CA1BFF" w:rsidP="00CA1BFF">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CA1BFF" w:rsidRPr="00E0618D" w:rsidRDefault="00CA1BFF" w:rsidP="00CA1BFF">
      <w:pPr>
        <w:jc w:val="center"/>
        <w:rPr>
          <w:rStyle w:val="Strong"/>
        </w:rPr>
      </w:pPr>
    </w:p>
    <w:p w:rsidR="00CA1BFF" w:rsidRPr="0074708C" w:rsidRDefault="00CA1BFF" w:rsidP="00CA1BFF">
      <w:pPr>
        <w:jc w:val="center"/>
        <w:rPr>
          <w:b/>
          <w:bCs/>
          <w:sz w:val="40"/>
          <w:szCs w:val="40"/>
        </w:rPr>
      </w:pPr>
      <w:r w:rsidRPr="0074708C">
        <w:rPr>
          <w:b/>
          <w:bCs/>
          <w:sz w:val="40"/>
          <w:szCs w:val="40"/>
        </w:rPr>
        <w:t>Externally set task 2017</w:t>
      </w:r>
    </w:p>
    <w:p w:rsidR="00CA1BFF" w:rsidRDefault="00CA1BFF" w:rsidP="00CA1BFF">
      <w:pPr>
        <w:rPr>
          <w:b/>
          <w:bCs/>
          <w:sz w:val="44"/>
          <w:szCs w:val="44"/>
        </w:rPr>
      </w:pPr>
    </w:p>
    <w:p w:rsidR="00CA1BFF" w:rsidRDefault="00CA1BFF" w:rsidP="00CA1BFF">
      <w:pPr>
        <w:rPr>
          <w:b/>
          <w:bCs/>
          <w:sz w:val="44"/>
          <w:szCs w:val="44"/>
        </w:rPr>
      </w:pPr>
    </w:p>
    <w:p w:rsidR="00CA1BFF" w:rsidRDefault="00CA1BFF" w:rsidP="00CA1BFF">
      <w:pPr>
        <w:rPr>
          <w:b/>
          <w:bCs/>
          <w:sz w:val="44"/>
          <w:szCs w:val="44"/>
        </w:rPr>
      </w:pPr>
    </w:p>
    <w:p w:rsidR="00CA1BFF" w:rsidRDefault="00CA1BFF" w:rsidP="00CA1BFF">
      <w:pPr>
        <w:rPr>
          <w:b/>
          <w:bCs/>
          <w:sz w:val="44"/>
          <w:szCs w:val="44"/>
        </w:rPr>
      </w:pPr>
    </w:p>
    <w:p w:rsidR="00CA1BFF" w:rsidRPr="0074708C" w:rsidRDefault="00CA1BFF" w:rsidP="00CA1BFF">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35DED508" wp14:editId="409F76E3">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CA1BFF" w:rsidRPr="002A6754" w:rsidRDefault="00CA1BFF" w:rsidP="00CA1BFF">
                            <w:pPr>
                              <w:spacing w:after="0"/>
                            </w:pPr>
                            <w:r w:rsidRPr="002A6754">
                              <w:t xml:space="preserve">This document is an extract from the </w:t>
                            </w:r>
                            <w:r w:rsidRPr="00CA1BFF">
                              <w:rPr>
                                <w:i/>
                              </w:rPr>
                              <w:t xml:space="preserve">Business Management and Enterprise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CA1BFF" w:rsidRPr="002A6754" w:rsidRDefault="00CA1BFF" w:rsidP="00CA1BFF">
                            <w:pPr>
                              <w:spacing w:after="0"/>
                            </w:pPr>
                          </w:p>
                          <w:p w:rsidR="00CA1BFF" w:rsidRPr="002A6754" w:rsidRDefault="00CA1BFF" w:rsidP="00CA1BF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A1BFF" w:rsidRPr="002A6754" w:rsidRDefault="00CA1BFF" w:rsidP="00CA1BFF">
                            <w:pPr>
                              <w:spacing w:after="0"/>
                            </w:pPr>
                          </w:p>
                          <w:p w:rsidR="00CA1BFF" w:rsidRPr="002A6754" w:rsidRDefault="00CA1BFF" w:rsidP="00CA1BF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D508"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CA1BFF" w:rsidRPr="002A6754" w:rsidRDefault="00CA1BFF" w:rsidP="00CA1BFF">
                      <w:pPr>
                        <w:spacing w:after="0"/>
                      </w:pPr>
                      <w:r w:rsidRPr="002A6754">
                        <w:t xml:space="preserve">This document is an extract from the </w:t>
                      </w:r>
                      <w:r w:rsidRPr="00CA1BFF">
                        <w:rPr>
                          <w:i/>
                        </w:rPr>
                        <w:t xml:space="preserve">Business Management and Enterprise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CA1BFF" w:rsidRPr="002A6754" w:rsidRDefault="00CA1BFF" w:rsidP="00CA1BFF">
                      <w:pPr>
                        <w:spacing w:after="0"/>
                      </w:pPr>
                    </w:p>
                    <w:p w:rsidR="00CA1BFF" w:rsidRPr="002A6754" w:rsidRDefault="00CA1BFF" w:rsidP="00CA1BF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A1BFF" w:rsidRPr="002A6754" w:rsidRDefault="00CA1BFF" w:rsidP="00CA1BFF">
                      <w:pPr>
                        <w:spacing w:after="0"/>
                      </w:pPr>
                    </w:p>
                    <w:p w:rsidR="00CA1BFF" w:rsidRPr="002A6754" w:rsidRDefault="00CA1BFF" w:rsidP="00CA1BF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CA1BFF" w:rsidRDefault="00CA1BFF" w:rsidP="003566C9">
      <w:pPr>
        <w:pStyle w:val="Heading1"/>
        <w:rPr>
          <w:color w:val="000000" w:themeColor="text1"/>
        </w:rPr>
        <w:sectPr w:rsidR="00CA1BFF" w:rsidSect="00CA1BFF">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bookmarkStart w:id="3" w:name="_GoBack"/>
      <w:bookmarkEnd w:id="3"/>
    </w:p>
    <w:p w:rsidR="008743F4" w:rsidRPr="003566C9" w:rsidRDefault="008743F4" w:rsidP="003566C9">
      <w:pPr>
        <w:pStyle w:val="Heading1"/>
      </w:pPr>
      <w:r w:rsidRPr="00C57DC2">
        <w:rPr>
          <w:color w:val="000000" w:themeColor="text1"/>
        </w:rPr>
        <w:lastRenderedPageBreak/>
        <w:t>Unit 3</w:t>
      </w:r>
      <w:bookmarkEnd w:id="0"/>
      <w:r w:rsidRPr="003566C9">
        <w:t xml:space="preserve"> </w:t>
      </w:r>
    </w:p>
    <w:p w:rsidR="00E44502" w:rsidRPr="003566C9" w:rsidRDefault="00E44502" w:rsidP="006854CE">
      <w:pPr>
        <w:pStyle w:val="Heading2"/>
      </w:pPr>
      <w:bookmarkStart w:id="4" w:name="_Toc382916792"/>
      <w:r w:rsidRPr="003566C9">
        <w:t>Unit description</w:t>
      </w:r>
      <w:bookmarkEnd w:id="1"/>
      <w:bookmarkEnd w:id="4"/>
    </w:p>
    <w:p w:rsidR="005356F6" w:rsidRPr="005356F6" w:rsidRDefault="005356F6" w:rsidP="00BE7E67">
      <w:pPr>
        <w:pStyle w:val="Paragraph"/>
        <w:spacing w:before="120"/>
        <w:rPr>
          <w:rFonts w:eastAsia="Franklin Gothic Book"/>
          <w:lang w:eastAsia="en-AU"/>
        </w:rPr>
      </w:pPr>
      <w:bookmarkStart w:id="5" w:name="_Toc347908214"/>
      <w:bookmarkStart w:id="6" w:name="_Toc360700414"/>
      <w:r w:rsidRPr="005356F6">
        <w:rPr>
          <w:rFonts w:eastAsia="Franklin Gothic Book"/>
          <w:lang w:eastAsia="en-AU"/>
        </w:rPr>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155766">
        <w:rPr>
          <w:rFonts w:eastAsia="Franklin Gothic Book"/>
          <w:lang w:eastAsia="en-AU"/>
        </w:rPr>
        <w:t>,</w:t>
      </w:r>
      <w:r w:rsidRPr="005356F6">
        <w:rPr>
          <w:rFonts w:eastAsia="Franklin Gothic Book"/>
          <w:lang w:eastAsia="en-AU"/>
        </w:rPr>
        <w:t xml:space="preserve"> such as expansion in products, market share or diversification. The unit explores how the marketing plan contributes to the overall business plan.</w:t>
      </w:r>
      <w:bookmarkEnd w:id="5"/>
    </w:p>
    <w:p w:rsidR="008E32B1" w:rsidRPr="003566C9" w:rsidRDefault="008E32B1" w:rsidP="006854CE">
      <w:pPr>
        <w:pStyle w:val="Heading2"/>
      </w:pPr>
      <w:bookmarkStart w:id="7" w:name="_Toc382916793"/>
      <w:bookmarkEnd w:id="6"/>
      <w:r w:rsidRPr="003566C9">
        <w:t>Unit content</w:t>
      </w:r>
      <w:bookmarkEnd w:id="2"/>
      <w:bookmarkEnd w:id="7"/>
    </w:p>
    <w:p w:rsidR="008E32B1" w:rsidRPr="00F71C27" w:rsidRDefault="00A97B98" w:rsidP="00BE7E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Default="008E32B1" w:rsidP="00BE7E67">
      <w:pPr>
        <w:spacing w:before="120" w:line="276" w:lineRule="auto"/>
      </w:pPr>
      <w:r w:rsidRPr="003566C9">
        <w:t>This unit includes the knowledge, understandings and skills described below.</w:t>
      </w:r>
    </w:p>
    <w:p w:rsidR="005356F6" w:rsidRPr="005356F6" w:rsidRDefault="005356F6" w:rsidP="00BE7E67">
      <w:pPr>
        <w:pStyle w:val="Paragraph"/>
        <w:spacing w:before="120"/>
        <w:rPr>
          <w:rFonts w:eastAsia="Times New Roman"/>
        </w:rPr>
      </w:pPr>
      <w:r w:rsidRPr="005356F6">
        <w:rPr>
          <w:rFonts w:eastAsia="Times New Roman"/>
        </w:rPr>
        <w:t>The course content encompasses theoretical and practical aspects of business management and enterprise, and is divided into three content areas:</w:t>
      </w:r>
    </w:p>
    <w:p w:rsidR="005356F6" w:rsidRPr="005356F6" w:rsidRDefault="005356F6" w:rsidP="005356F6">
      <w:pPr>
        <w:pStyle w:val="ListItem"/>
      </w:pPr>
      <w:r w:rsidRPr="005356F6">
        <w:t>Environments</w:t>
      </w:r>
    </w:p>
    <w:p w:rsidR="005356F6" w:rsidRPr="005356F6" w:rsidRDefault="005356F6" w:rsidP="005356F6">
      <w:pPr>
        <w:pStyle w:val="ListItem"/>
      </w:pPr>
      <w:r w:rsidRPr="005356F6">
        <w:t>Management</w:t>
      </w:r>
    </w:p>
    <w:p w:rsidR="005356F6" w:rsidRPr="005356F6" w:rsidRDefault="005356F6" w:rsidP="005356F6">
      <w:pPr>
        <w:pStyle w:val="ListItem"/>
      </w:pPr>
      <w:r w:rsidRPr="005356F6">
        <w:t>People.</w:t>
      </w:r>
    </w:p>
    <w:p w:rsidR="00A97B98" w:rsidRPr="003566C9" w:rsidRDefault="005356F6" w:rsidP="00CC2910">
      <w:pPr>
        <w:pStyle w:val="Heading3"/>
      </w:pPr>
      <w:r w:rsidRPr="005356F6">
        <w:t>Environments</w:t>
      </w:r>
    </w:p>
    <w:p w:rsidR="005356F6" w:rsidRPr="005356F6" w:rsidRDefault="005356F6" w:rsidP="00A41CAA">
      <w:pPr>
        <w:pStyle w:val="Paragraph"/>
        <w:shd w:val="clear" w:color="auto" w:fill="D9D9D9" w:themeFill="background1" w:themeFillShade="D9"/>
        <w:spacing w:before="120"/>
        <w:rPr>
          <w:rFonts w:eastAsia="Calibri"/>
          <w:b/>
          <w:lang w:eastAsia="en-AU"/>
        </w:rPr>
      </w:pPr>
      <w:r w:rsidRPr="005356F6">
        <w:rPr>
          <w:rFonts w:eastAsia="Franklin Gothic Book"/>
          <w:b/>
          <w:lang w:eastAsia="en-AU"/>
        </w:rPr>
        <w:t>Political and legal, economic, socio-cultural and technological (PEST)</w:t>
      </w:r>
    </w:p>
    <w:p w:rsidR="005356F6" w:rsidRPr="005356F6" w:rsidRDefault="005356F6" w:rsidP="0080519D">
      <w:pPr>
        <w:pStyle w:val="ListItem"/>
        <w:shd w:val="clear" w:color="auto" w:fill="D9D9D9" w:themeFill="background1" w:themeFillShade="D9"/>
        <w:spacing w:after="0"/>
      </w:pPr>
      <w:r w:rsidRPr="005356F6">
        <w:t>types of business ownership in small to medium enterprises (SMEs)</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sole traders</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partnerships</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small proprietary companies</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not-for-profit organisations </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franchises</w:t>
      </w:r>
    </w:p>
    <w:p w:rsidR="005356F6" w:rsidRPr="005356F6" w:rsidRDefault="005356F6" w:rsidP="005356F6">
      <w:pPr>
        <w:pStyle w:val="ListItem"/>
        <w:spacing w:after="0"/>
      </w:pPr>
      <w:r w:rsidRPr="005356F6">
        <w:t>Australian consumer law in relation to misleading and deceptive conduct in business marketing activity, including:</w:t>
      </w:r>
    </w:p>
    <w:p w:rsidR="005356F6" w:rsidRPr="005356F6" w:rsidRDefault="005356F6" w:rsidP="00261292">
      <w:pPr>
        <w:numPr>
          <w:ilvl w:val="1"/>
          <w:numId w:val="25"/>
        </w:numPr>
        <w:tabs>
          <w:tab w:val="left" w:pos="-851"/>
          <w:tab w:val="left" w:pos="709"/>
        </w:tabs>
        <w:spacing w:after="0" w:line="276" w:lineRule="auto"/>
        <w:ind w:left="709" w:right="-79" w:hanging="283"/>
        <w:rPr>
          <w:rFonts w:eastAsia="Times New Roman" w:cs="Calibri"/>
        </w:rPr>
      </w:pPr>
      <w:r w:rsidRPr="005356F6">
        <w:rPr>
          <w:rFonts w:eastAsia="Times New Roman" w:cs="Calibri"/>
        </w:rPr>
        <w:t>bait advertising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scientific claims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country of origin</w:t>
      </w:r>
    </w:p>
    <w:p w:rsidR="005356F6" w:rsidRPr="005356F6" w:rsidRDefault="005356F6" w:rsidP="005356F6">
      <w:pPr>
        <w:pStyle w:val="ListItem"/>
        <w:spacing w:after="0"/>
      </w:pPr>
      <w:r w:rsidRPr="005356F6">
        <w:t>consumer rights and protection,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product safety (Australian Standards)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guarantees, warranties and refunds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repair and replace</w:t>
      </w:r>
    </w:p>
    <w:p w:rsidR="005356F6" w:rsidRPr="005356F6" w:rsidRDefault="005356F6" w:rsidP="005356F6">
      <w:pPr>
        <w:pStyle w:val="ListItem"/>
        <w:spacing w:after="0"/>
      </w:pPr>
      <w:r w:rsidRPr="005356F6">
        <w:t>national employment standards for employment contracts,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minimum wage </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minimum working conditions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unfair dismissal</w:t>
      </w:r>
    </w:p>
    <w:p w:rsidR="005356F6" w:rsidRPr="005356F6" w:rsidRDefault="005356F6" w:rsidP="005356F6">
      <w:pPr>
        <w:pStyle w:val="ListItem"/>
        <w:spacing w:after="0"/>
      </w:pPr>
      <w:r w:rsidRPr="005356F6">
        <w:lastRenderedPageBreak/>
        <w:t xml:space="preserve">key elements of a contract </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intention</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agreement (offer and acceptance)</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consideration</w:t>
      </w:r>
    </w:p>
    <w:p w:rsidR="005356F6" w:rsidRPr="005356F6" w:rsidRDefault="005356F6" w:rsidP="005356F6">
      <w:pPr>
        <w:pStyle w:val="ListItem"/>
        <w:spacing w:after="0"/>
      </w:pPr>
      <w:r w:rsidRPr="005356F6">
        <w:t>legal requirements of contracts,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capacity</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consent</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legal purpose</w:t>
      </w:r>
    </w:p>
    <w:p w:rsidR="005356F6" w:rsidRPr="005356F6" w:rsidRDefault="005356F6" w:rsidP="0080519D">
      <w:pPr>
        <w:pStyle w:val="ListItem"/>
        <w:shd w:val="clear" w:color="auto" w:fill="D9D9D9" w:themeFill="background1" w:themeFillShade="D9"/>
        <w:spacing w:after="0"/>
      </w:pPr>
      <w:r w:rsidRPr="005356F6">
        <w:t>impact of economic factors on business function, including:</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inflation</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interest rates</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availability of skilled and unskilled labour </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unemployment rates</w:t>
      </w:r>
    </w:p>
    <w:p w:rsidR="005356F6" w:rsidRPr="005356F6" w:rsidRDefault="005356F6" w:rsidP="005356F6">
      <w:pPr>
        <w:pStyle w:val="ListItem"/>
      </w:pPr>
      <w:r w:rsidRPr="005356F6">
        <w:t>the concept of business public image</w:t>
      </w:r>
    </w:p>
    <w:p w:rsidR="005356F6" w:rsidRPr="005356F6" w:rsidRDefault="005356F6" w:rsidP="005356F6">
      <w:pPr>
        <w:pStyle w:val="ListItem"/>
        <w:spacing w:after="0"/>
      </w:pPr>
      <w:r w:rsidRPr="005356F6">
        <w:t>methods of raising business public image,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corporate sponsorship</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donations</w:t>
      </w:r>
    </w:p>
    <w:p w:rsidR="005356F6" w:rsidRPr="005356F6" w:rsidRDefault="005356F6" w:rsidP="005356F6">
      <w:pPr>
        <w:pStyle w:val="ListItem"/>
        <w:spacing w:after="0"/>
      </w:pPr>
      <w:r w:rsidRPr="005356F6">
        <w:t>positive and negative impacts on business image of environmental issues,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climate change</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pollution</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energy use</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animal testing</w:t>
      </w:r>
    </w:p>
    <w:p w:rsidR="00A97B98" w:rsidRPr="003566C9" w:rsidRDefault="005356F6" w:rsidP="00CC2910">
      <w:pPr>
        <w:pStyle w:val="Heading3"/>
      </w:pPr>
      <w:r w:rsidRPr="005356F6">
        <w:t>Management</w:t>
      </w:r>
    </w:p>
    <w:p w:rsidR="005356F6" w:rsidRPr="005356F6" w:rsidRDefault="005356F6" w:rsidP="00A41CAA">
      <w:pPr>
        <w:shd w:val="clear" w:color="auto" w:fill="D9D9D9" w:themeFill="background1" w:themeFillShade="D9"/>
        <w:spacing w:before="120" w:line="276" w:lineRule="auto"/>
        <w:rPr>
          <w:rFonts w:eastAsia="Calibri" w:cs="Calibri"/>
          <w:b/>
          <w:szCs w:val="20"/>
          <w:lang w:eastAsia="en-AU"/>
        </w:rPr>
      </w:pPr>
      <w:r w:rsidRPr="005356F6">
        <w:rPr>
          <w:rFonts w:eastAsia="Franklin Gothic Book" w:cs="Calibri"/>
          <w:b/>
          <w:szCs w:val="20"/>
          <w:lang w:eastAsia="en-AU"/>
        </w:rPr>
        <w:t>Marketing</w:t>
      </w:r>
    </w:p>
    <w:p w:rsidR="00DC1833" w:rsidRDefault="005356F6" w:rsidP="0080519D">
      <w:pPr>
        <w:pStyle w:val="ListItem"/>
        <w:shd w:val="clear" w:color="auto" w:fill="D9D9D9" w:themeFill="background1" w:themeFillShade="D9"/>
      </w:pPr>
      <w:r w:rsidRPr="005356F6">
        <w:t xml:space="preserve">the concept of market </w:t>
      </w:r>
    </w:p>
    <w:p w:rsidR="005356F6" w:rsidRPr="005356F6" w:rsidRDefault="00DC1833" w:rsidP="0080519D">
      <w:pPr>
        <w:pStyle w:val="ListItem"/>
        <w:shd w:val="clear" w:color="auto" w:fill="D9D9D9" w:themeFill="background1" w:themeFillShade="D9"/>
      </w:pPr>
      <w:r>
        <w:t>the concepts of</w:t>
      </w:r>
      <w:r w:rsidR="005356F6" w:rsidRPr="005356F6">
        <w:t xml:space="preserve"> market size and market share</w:t>
      </w:r>
    </w:p>
    <w:p w:rsidR="005356F6" w:rsidRPr="005356F6" w:rsidRDefault="005356F6" w:rsidP="00B92BA1">
      <w:pPr>
        <w:pStyle w:val="ListItem"/>
        <w:spacing w:after="0"/>
      </w:pPr>
      <w:r w:rsidRPr="005356F6">
        <w:t>key elements of a marketing plan,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market position</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competitor analysis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target market analysis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marketing goals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marketing strategy</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marketing mix</w:t>
      </w:r>
    </w:p>
    <w:p w:rsidR="00DC1833" w:rsidRDefault="00DC1833" w:rsidP="00B92BA1">
      <w:pPr>
        <w:pStyle w:val="ListItem"/>
        <w:spacing w:after="0"/>
      </w:pPr>
      <w:r>
        <w:t>the concept of market segmentation</w:t>
      </w:r>
    </w:p>
    <w:p w:rsidR="005356F6" w:rsidRPr="005356F6" w:rsidRDefault="005356F6" w:rsidP="00B92BA1">
      <w:pPr>
        <w:pStyle w:val="ListItem"/>
        <w:spacing w:after="0"/>
      </w:pPr>
      <w:r w:rsidRPr="005356F6">
        <w:t>characteristics of market segmentation,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demographic </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geographic</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psychographic (lifestyle and behaviour)</w:t>
      </w:r>
    </w:p>
    <w:p w:rsidR="00DC1833" w:rsidRDefault="00DC1833" w:rsidP="00B92BA1">
      <w:pPr>
        <w:pStyle w:val="ListItem"/>
        <w:spacing w:after="0"/>
      </w:pPr>
      <w:r>
        <w:t>the concept of market research</w:t>
      </w:r>
    </w:p>
    <w:p w:rsidR="005356F6" w:rsidRPr="005356F6" w:rsidRDefault="005356F6" w:rsidP="00B92BA1">
      <w:pPr>
        <w:pStyle w:val="ListItem"/>
        <w:spacing w:after="0"/>
      </w:pPr>
      <w:r w:rsidRPr="005356F6">
        <w:lastRenderedPageBreak/>
        <w:t>key features of the market research process,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collection of primary and secondary data</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data analysis </w:t>
      </w:r>
    </w:p>
    <w:p w:rsidR="005356F6" w:rsidRPr="005356F6" w:rsidRDefault="00DC1833" w:rsidP="0080519D">
      <w:pPr>
        <w:pStyle w:val="ListItem"/>
        <w:shd w:val="clear" w:color="auto" w:fill="D9D9D9" w:themeFill="background1" w:themeFillShade="D9"/>
      </w:pPr>
      <w:r>
        <w:t>the concepts of marketing and</w:t>
      </w:r>
      <w:r w:rsidR="005356F6" w:rsidRPr="005356F6">
        <w:t xml:space="preserve"> the marketing mix</w:t>
      </w:r>
    </w:p>
    <w:p w:rsidR="005356F6" w:rsidRPr="005356F6" w:rsidRDefault="005356F6" w:rsidP="0080519D">
      <w:pPr>
        <w:pStyle w:val="ListItem"/>
        <w:shd w:val="clear" w:color="auto" w:fill="D9D9D9" w:themeFill="background1" w:themeFillShade="D9"/>
        <w:spacing w:after="0"/>
      </w:pPr>
      <w:r w:rsidRPr="005356F6">
        <w:t>elements of the marketing mix</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positioning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features</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branding</w:t>
      </w:r>
    </w:p>
    <w:p w:rsidR="005356F6" w:rsidRPr="0081685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packaging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price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skim</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penetration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psychological</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premium/prestige </w:t>
      </w:r>
    </w:p>
    <w:p w:rsidR="005356F6" w:rsidRPr="005356F6" w:rsidRDefault="005356F6" w:rsidP="002F2150">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place</w:t>
      </w:r>
    </w:p>
    <w:p w:rsidR="005356F6" w:rsidRPr="005356F6" w:rsidRDefault="005356F6" w:rsidP="002F2150">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direct distribution</w:t>
      </w:r>
    </w:p>
    <w:p w:rsidR="005356F6" w:rsidRPr="005356F6" w:rsidRDefault="005356F6" w:rsidP="002F2150">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indirect distribution</w:t>
      </w:r>
    </w:p>
    <w:p w:rsidR="005356F6" w:rsidRPr="005356F6" w:rsidRDefault="005356F6" w:rsidP="002F2150">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location</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promotion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advertising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publicity</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sales promotion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viral marketing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telemarketing</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people (employees)</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training and customer service as part of </w:t>
      </w:r>
      <w:r w:rsidR="003A42FF">
        <w:rPr>
          <w:rFonts w:eastAsia="Times New Roman" w:cs="Calibri"/>
        </w:rPr>
        <w:t>c</w:t>
      </w:r>
      <w:r w:rsidRPr="005356F6">
        <w:rPr>
          <w:rFonts w:eastAsia="Times New Roman" w:cs="Calibri"/>
        </w:rPr>
        <w:t xml:space="preserve">ustomer </w:t>
      </w:r>
      <w:r w:rsidR="003A42FF">
        <w:rPr>
          <w:rFonts w:eastAsia="Times New Roman" w:cs="Calibri"/>
        </w:rPr>
        <w:t>r</w:t>
      </w:r>
      <w:r w:rsidRPr="005356F6">
        <w:rPr>
          <w:rFonts w:eastAsia="Times New Roman" w:cs="Calibri"/>
        </w:rPr>
        <w:t xml:space="preserve">elationship </w:t>
      </w:r>
      <w:r w:rsidR="003A42FF">
        <w:rPr>
          <w:rFonts w:eastAsia="Times New Roman" w:cs="Calibri"/>
        </w:rPr>
        <w:t>m</w:t>
      </w:r>
      <w:r w:rsidRPr="005356F6">
        <w:rPr>
          <w:rFonts w:eastAsia="Times New Roman" w:cs="Calibri"/>
        </w:rPr>
        <w:t xml:space="preserve">anagement (CRM) </w:t>
      </w:r>
    </w:p>
    <w:p w:rsidR="005356F6" w:rsidRPr="005356F6" w:rsidRDefault="005356F6" w:rsidP="002F2150">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processes</w:t>
      </w:r>
    </w:p>
    <w:p w:rsidR="005356F6" w:rsidRPr="005356F6" w:rsidRDefault="005356F6" w:rsidP="002F2150">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procedures to deliver a service or product</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physical presence of the business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signage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webpage </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 uniform</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performance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evaluation of business marketing objectives using key performance indicators (KPIs)</w:t>
      </w:r>
      <w:r w:rsidR="00CF4F36">
        <w:rPr>
          <w:rFonts w:eastAsia="Times New Roman" w:cs="Calibri"/>
        </w:rPr>
        <w:t>,</w:t>
      </w:r>
      <w:r w:rsidRPr="005356F6">
        <w:rPr>
          <w:rFonts w:eastAsia="Times New Roman" w:cs="Calibri"/>
        </w:rPr>
        <w:t xml:space="preserve"> including: sales revenue, sales returns and customer satisfaction</w:t>
      </w:r>
    </w:p>
    <w:p w:rsidR="005356F6" w:rsidRPr="00B92BA1" w:rsidRDefault="005356F6" w:rsidP="00B92BA1">
      <w:pPr>
        <w:pStyle w:val="ListItem"/>
      </w:pPr>
      <w:r w:rsidRPr="00B92BA1">
        <w:t>the use of customer profiling to determine customer needs and expectations</w:t>
      </w:r>
    </w:p>
    <w:p w:rsidR="005356F6" w:rsidRPr="00B92BA1" w:rsidRDefault="005356F6" w:rsidP="00B92BA1">
      <w:pPr>
        <w:pStyle w:val="ListItem"/>
      </w:pPr>
      <w:r w:rsidRPr="00B92BA1">
        <w:t>the use of competitor profiling to determine competitor product range, prices and marketing strategies</w:t>
      </w:r>
    </w:p>
    <w:p w:rsidR="005356F6" w:rsidRPr="00B92BA1" w:rsidRDefault="005356F6" w:rsidP="00B92BA1">
      <w:pPr>
        <w:pStyle w:val="ListItem"/>
        <w:spacing w:after="0"/>
      </w:pPr>
      <w:r w:rsidRPr="00B92BA1">
        <w:t>strategies for managing customer relationships,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 xml:space="preserve">customer loyalty </w:t>
      </w:r>
      <w:r w:rsidR="00DC1833">
        <w:rPr>
          <w:rFonts w:eastAsia="Times New Roman" w:cs="Calibri"/>
        </w:rPr>
        <w:t>programs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early adopter incentive</w:t>
      </w:r>
      <w:r w:rsidR="00DC1833">
        <w:rPr>
          <w:rFonts w:eastAsia="Times New Roman" w:cs="Calibri"/>
        </w:rPr>
        <w:t>s</w:t>
      </w:r>
    </w:p>
    <w:p w:rsidR="005356F6" w:rsidRPr="005356F6" w:rsidRDefault="005356F6" w:rsidP="00B92BA1">
      <w:pPr>
        <w:pStyle w:val="ListItem"/>
        <w:spacing w:after="0"/>
      </w:pPr>
      <w:r w:rsidRPr="005356F6">
        <w:t>the use of technologies to facilitate promotional activities,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lastRenderedPageBreak/>
        <w:t>internet</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mobile devices</w:t>
      </w:r>
    </w:p>
    <w:p w:rsidR="005356F6" w:rsidRPr="00B92BA1" w:rsidRDefault="005356F6" w:rsidP="00A41CAA">
      <w:pPr>
        <w:pStyle w:val="Paragraph"/>
        <w:shd w:val="clear" w:color="auto" w:fill="D9D9D9" w:themeFill="background1" w:themeFillShade="D9"/>
        <w:spacing w:before="120"/>
        <w:rPr>
          <w:rFonts w:eastAsia="Franklin Gothic Book"/>
          <w:b/>
          <w:lang w:eastAsia="en-AU"/>
        </w:rPr>
      </w:pPr>
      <w:r w:rsidRPr="00B92BA1">
        <w:rPr>
          <w:rFonts w:eastAsia="Franklin Gothic Book"/>
          <w:b/>
          <w:lang w:eastAsia="en-AU"/>
        </w:rPr>
        <w:t>Operations</w:t>
      </w:r>
    </w:p>
    <w:p w:rsidR="005356F6" w:rsidRPr="005356F6" w:rsidRDefault="005356F6" w:rsidP="00B92BA1">
      <w:pPr>
        <w:pStyle w:val="ListItem"/>
        <w:spacing w:after="0"/>
      </w:pPr>
      <w:r w:rsidRPr="005356F6">
        <w:t>levels of management within a business</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top</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middle</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frontline</w:t>
      </w:r>
    </w:p>
    <w:p w:rsidR="005356F6" w:rsidRPr="00B92BA1" w:rsidRDefault="005356F6" w:rsidP="00B92BA1">
      <w:pPr>
        <w:pStyle w:val="ListItem"/>
        <w:spacing w:after="0"/>
      </w:pPr>
      <w:r w:rsidRPr="00B92BA1">
        <w:t>types of organisational structures, including:</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functional</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divisional</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team</w:t>
      </w:r>
    </w:p>
    <w:p w:rsidR="005356F6" w:rsidRPr="005356F6" w:rsidRDefault="005356F6" w:rsidP="0080519D">
      <w:pPr>
        <w:pStyle w:val="ListItem"/>
        <w:shd w:val="clear" w:color="auto" w:fill="D9D9D9" w:themeFill="background1" w:themeFillShade="D9"/>
        <w:spacing w:after="0"/>
      </w:pPr>
      <w:r w:rsidRPr="005356F6">
        <w:t>features of organisational structures, including:</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chain of command</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span of control</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delegation</w:t>
      </w:r>
    </w:p>
    <w:p w:rsidR="005356F6" w:rsidRPr="005356F6" w:rsidRDefault="005356F6" w:rsidP="005356F6">
      <w:pPr>
        <w:pStyle w:val="Heading3"/>
      </w:pPr>
      <w:r w:rsidRPr="005356F6">
        <w:t>People</w:t>
      </w:r>
    </w:p>
    <w:p w:rsidR="005356F6" w:rsidRPr="005356F6" w:rsidRDefault="005356F6" w:rsidP="0080519D">
      <w:pPr>
        <w:pStyle w:val="ListItem"/>
        <w:shd w:val="clear" w:color="auto" w:fill="D9D9D9" w:themeFill="background1" w:themeFillShade="D9"/>
        <w:spacing w:after="0"/>
        <w:rPr>
          <w:rFonts w:eastAsia="Calibri"/>
        </w:rPr>
      </w:pPr>
      <w:r w:rsidRPr="005356F6">
        <w:t>phases of the employment cycle</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acquisition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staffing needs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selection and recruitment</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development</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induction </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training</w:t>
      </w:r>
    </w:p>
    <w:p w:rsidR="005356F6" w:rsidRPr="005356F6" w:rsidRDefault="005356F6" w:rsidP="0080519D">
      <w:pPr>
        <w:numPr>
          <w:ilvl w:val="1"/>
          <w:numId w:val="25"/>
        </w:numPr>
        <w:shd w:val="clear" w:color="auto" w:fill="D9D9D9" w:themeFill="background1" w:themeFillShade="D9"/>
        <w:tabs>
          <w:tab w:val="left" w:pos="-851"/>
          <w:tab w:val="left" w:pos="720"/>
        </w:tabs>
        <w:spacing w:after="0" w:line="276" w:lineRule="auto"/>
        <w:ind w:left="709" w:right="-79" w:hanging="283"/>
        <w:rPr>
          <w:rFonts w:eastAsia="Times New Roman" w:cs="Calibri"/>
        </w:rPr>
      </w:pPr>
      <w:r w:rsidRPr="005356F6">
        <w:rPr>
          <w:rFonts w:eastAsia="Times New Roman" w:cs="Calibri"/>
        </w:rPr>
        <w:t>maintenance</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agreements</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contracts</w:t>
      </w:r>
    </w:p>
    <w:p w:rsidR="005356F6" w:rsidRPr="005356F6" w:rsidRDefault="005356F6" w:rsidP="0080519D">
      <w:pPr>
        <w:numPr>
          <w:ilvl w:val="0"/>
          <w:numId w:val="38"/>
        </w:numPr>
        <w:shd w:val="clear" w:color="auto" w:fill="D9D9D9" w:themeFill="background1" w:themeFillShade="D9"/>
        <w:tabs>
          <w:tab w:val="clear" w:pos="927"/>
          <w:tab w:val="left" w:pos="-851"/>
        </w:tabs>
        <w:spacing w:after="0" w:line="276" w:lineRule="auto"/>
        <w:ind w:left="993" w:right="-77" w:hanging="284"/>
        <w:rPr>
          <w:rFonts w:eastAsia="Times New Roman" w:cs="Calibri"/>
        </w:rPr>
      </w:pPr>
      <w:r w:rsidRPr="005356F6">
        <w:rPr>
          <w:rFonts w:eastAsia="Times New Roman" w:cs="Calibri"/>
        </w:rPr>
        <w:t>performance management</w:t>
      </w:r>
    </w:p>
    <w:p w:rsidR="005356F6" w:rsidRPr="005356F6" w:rsidRDefault="005356F6" w:rsidP="00261292">
      <w:pPr>
        <w:numPr>
          <w:ilvl w:val="1"/>
          <w:numId w:val="25"/>
        </w:numPr>
        <w:tabs>
          <w:tab w:val="left" w:pos="-851"/>
          <w:tab w:val="left" w:pos="720"/>
        </w:tabs>
        <w:spacing w:after="0" w:line="276" w:lineRule="auto"/>
        <w:ind w:left="709" w:right="-79" w:hanging="283"/>
        <w:rPr>
          <w:rFonts w:eastAsia="Times New Roman" w:cs="Calibri"/>
        </w:rPr>
      </w:pPr>
      <w:r w:rsidRPr="005356F6">
        <w:rPr>
          <w:rFonts w:eastAsia="Times New Roman" w:cs="Calibri"/>
        </w:rPr>
        <w:t>separation</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retirement</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resignation</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retrenchment</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dismissal</w:t>
      </w:r>
    </w:p>
    <w:p w:rsidR="00416C3D" w:rsidRPr="003566C9" w:rsidRDefault="00416C3D" w:rsidP="007250F1">
      <w:pPr>
        <w:pStyle w:val="Heading1"/>
      </w:pPr>
    </w:p>
    <w:sectPr w:rsidR="00416C3D" w:rsidRPr="003566C9" w:rsidSect="00CA1BFF">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EF" w:rsidRDefault="004A41EF" w:rsidP="00742128">
      <w:pPr>
        <w:spacing w:after="0" w:line="240" w:lineRule="auto"/>
      </w:pPr>
      <w:r>
        <w:separator/>
      </w:r>
    </w:p>
  </w:endnote>
  <w:endnote w:type="continuationSeparator" w:id="0">
    <w:p w:rsidR="004A41EF" w:rsidRDefault="004A41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EB" w:rsidRPr="009E1E00" w:rsidRDefault="007C2DEB"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FF" w:rsidRPr="00CA1BFF" w:rsidRDefault="00CA1BFF" w:rsidP="00CA1BFF">
    <w:pPr>
      <w:pStyle w:val="Footer"/>
      <w:tabs>
        <w:tab w:val="clear" w:pos="4513"/>
        <w:tab w:val="clear" w:pos="9026"/>
        <w:tab w:val="center" w:pos="4820"/>
        <w:tab w:val="right" w:pos="9639"/>
      </w:tabs>
    </w:pPr>
    <w:r>
      <w:rPr>
        <w:i/>
        <w:sz w:val="16"/>
      </w:rPr>
      <w:tab/>
    </w:r>
    <w:r w:rsidRPr="00CA1BFF">
      <w:rPr>
        <w:i/>
        <w:sz w:val="16"/>
      </w:rPr>
      <w:t xml:space="preserve">Business Management and Enterprise </w:t>
    </w:r>
    <w:r w:rsidRPr="002A6754">
      <w:rPr>
        <w:i/>
        <w:sz w:val="16"/>
      </w:rPr>
      <w:t>General Year 12: Externally set task content 2017</w:t>
    </w:r>
    <w:r>
      <w:rPr>
        <w:i/>
        <w:sz w:val="16"/>
      </w:rPr>
      <w:tab/>
    </w:r>
    <w:r w:rsidRPr="00CA1BFF">
      <w:rPr>
        <w:sz w:val="16"/>
      </w:rPr>
      <w:fldChar w:fldCharType="begin"/>
    </w:r>
    <w:r w:rsidRPr="00CA1BFF">
      <w:rPr>
        <w:sz w:val="16"/>
      </w:rPr>
      <w:instrText xml:space="preserve"> PAGE   \* MERGEFORMAT </w:instrText>
    </w:r>
    <w:r w:rsidRPr="00CA1BFF">
      <w:rPr>
        <w:sz w:val="16"/>
      </w:rPr>
      <w:fldChar w:fldCharType="separate"/>
    </w:r>
    <w:r w:rsidR="00BD1A39">
      <w:rPr>
        <w:noProof/>
        <w:sz w:val="16"/>
      </w:rPr>
      <w:t>4</w:t>
    </w:r>
    <w:r w:rsidRPr="00CA1BFF">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FF" w:rsidRDefault="00C1502C" w:rsidP="00CA1BFF">
    <w:pPr>
      <w:pStyle w:val="Footer"/>
      <w:tabs>
        <w:tab w:val="clear" w:pos="4513"/>
        <w:tab w:val="clear" w:pos="9026"/>
        <w:tab w:val="center" w:pos="4820"/>
        <w:tab w:val="right" w:pos="9639"/>
      </w:tabs>
    </w:pPr>
    <w:r>
      <w:rPr>
        <w:sz w:val="16"/>
      </w:rPr>
      <w:t>2016/18278</w:t>
    </w:r>
    <w:r w:rsidR="00BD1A39">
      <w:rPr>
        <w:sz w:val="16"/>
      </w:rPr>
      <w:t>v2</w:t>
    </w:r>
    <w:r w:rsidR="00CA1BFF">
      <w:rPr>
        <w:i/>
        <w:sz w:val="16"/>
      </w:rPr>
      <w:tab/>
    </w:r>
    <w:r w:rsidR="00CA1BFF" w:rsidRPr="00CA1BFF">
      <w:rPr>
        <w:i/>
        <w:sz w:val="16"/>
      </w:rPr>
      <w:t xml:space="preserve">Business Management and Enterprise </w:t>
    </w:r>
    <w:r w:rsidR="00CA1BFF"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FF" w:rsidRPr="00CA1BFF" w:rsidRDefault="00CA1BFF" w:rsidP="00CA1BFF">
    <w:pPr>
      <w:pStyle w:val="Footer"/>
      <w:tabs>
        <w:tab w:val="clear" w:pos="4513"/>
        <w:tab w:val="clear" w:pos="9026"/>
        <w:tab w:val="center" w:pos="4820"/>
        <w:tab w:val="right" w:pos="9639"/>
      </w:tabs>
    </w:pPr>
    <w:r>
      <w:rPr>
        <w:i/>
        <w:sz w:val="16"/>
      </w:rPr>
      <w:tab/>
    </w:r>
    <w:r w:rsidRPr="00CA1BFF">
      <w:rPr>
        <w:i/>
        <w:sz w:val="16"/>
      </w:rPr>
      <w:t xml:space="preserve">Business Management and Enterprise </w:t>
    </w:r>
    <w:r w:rsidRPr="002A6754">
      <w:rPr>
        <w:i/>
        <w:sz w:val="16"/>
      </w:rPr>
      <w:t>General Year 12: Externally set task content 2017</w:t>
    </w:r>
    <w:r>
      <w:rPr>
        <w:i/>
        <w:sz w:val="16"/>
      </w:rPr>
      <w:tab/>
    </w:r>
    <w:r w:rsidRPr="00CA1BFF">
      <w:rPr>
        <w:sz w:val="16"/>
      </w:rPr>
      <w:fldChar w:fldCharType="begin"/>
    </w:r>
    <w:r w:rsidRPr="00CA1BFF">
      <w:rPr>
        <w:sz w:val="16"/>
      </w:rPr>
      <w:instrText xml:space="preserve"> PAGE   \* MERGEFORMAT </w:instrText>
    </w:r>
    <w:r w:rsidRPr="00CA1BFF">
      <w:rPr>
        <w:sz w:val="16"/>
      </w:rPr>
      <w:fldChar w:fldCharType="separate"/>
    </w:r>
    <w:r w:rsidR="00BD1A39">
      <w:rPr>
        <w:noProof/>
        <w:sz w:val="16"/>
      </w:rPr>
      <w:t>1</w:t>
    </w:r>
    <w:r w:rsidRPr="00CA1BFF">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EF" w:rsidRDefault="004A41EF" w:rsidP="00742128">
      <w:pPr>
        <w:spacing w:after="0" w:line="240" w:lineRule="auto"/>
      </w:pPr>
      <w:r>
        <w:separator/>
      </w:r>
    </w:p>
  </w:footnote>
  <w:footnote w:type="continuationSeparator" w:id="0">
    <w:p w:rsidR="004A41EF" w:rsidRDefault="004A41E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EB" w:rsidRPr="001567D0" w:rsidRDefault="007C2DE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A1BFF">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FF" w:rsidRDefault="00CA1BFF">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FF" w:rsidRDefault="00CA1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B83AFE"/>
    <w:multiLevelType w:val="hybridMultilevel"/>
    <w:tmpl w:val="C996FC6C"/>
    <w:lvl w:ilvl="0" w:tplc="517E9DE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4583C"/>
    <w:multiLevelType w:val="hybridMultilevel"/>
    <w:tmpl w:val="76F065F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4235E"/>
    <w:multiLevelType w:val="hybridMultilevel"/>
    <w:tmpl w:val="F9CC9EB6"/>
    <w:lvl w:ilvl="0" w:tplc="04090001">
      <w:start w:val="1"/>
      <w:numFmt w:val="bullet"/>
      <w:lvlText w:val=""/>
      <w:lvlJc w:val="left"/>
      <w:pPr>
        <w:tabs>
          <w:tab w:val="num" w:pos="360"/>
        </w:tabs>
        <w:ind w:left="360" w:hanging="360"/>
      </w:pPr>
      <w:rPr>
        <w:rFonts w:ascii="Symbol" w:hAnsi="Symbol" w:hint="default"/>
      </w:rPr>
    </w:lvl>
    <w:lvl w:ilvl="1" w:tplc="3F0E86D0">
      <w:start w:val="1"/>
      <w:numFmt w:val="bullet"/>
      <w:lvlText w:val=""/>
      <w:lvlJc w:val="left"/>
      <w:pPr>
        <w:tabs>
          <w:tab w:val="num" w:pos="749"/>
        </w:tabs>
        <w:ind w:left="749"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20AED"/>
    <w:multiLevelType w:val="hybridMultilevel"/>
    <w:tmpl w:val="DA44FBC4"/>
    <w:lvl w:ilvl="0" w:tplc="56A2D8C4">
      <w:start w:val="1"/>
      <w:numFmt w:val="bullet"/>
      <w:lvlText w:val="o"/>
      <w:lvlJc w:val="left"/>
      <w:pPr>
        <w:tabs>
          <w:tab w:val="num" w:pos="927"/>
        </w:tabs>
        <w:ind w:left="927" w:hanging="360"/>
      </w:pPr>
      <w:rPr>
        <w:rFonts w:ascii="Courier New" w:hAnsi="Courier New" w:hint="default"/>
        <w:sz w:val="16"/>
        <w:szCs w:val="16"/>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B937130"/>
    <w:multiLevelType w:val="hybridMultilevel"/>
    <w:tmpl w:val="12C2153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4224"/>
    <w:multiLevelType w:val="hybridMultilevel"/>
    <w:tmpl w:val="3BBE75DE"/>
    <w:lvl w:ilvl="0" w:tplc="0C090003">
      <w:start w:val="1"/>
      <w:numFmt w:val="bullet"/>
      <w:lvlText w:val="o"/>
      <w:lvlJc w:val="left"/>
      <w:pPr>
        <w:tabs>
          <w:tab w:val="num" w:pos="927"/>
        </w:tabs>
        <w:ind w:left="927" w:hanging="360"/>
      </w:pPr>
      <w:rPr>
        <w:rFonts w:ascii="Courier New" w:hAnsi="Courier New" w:cs="Courier New" w:hint="default"/>
        <w:sz w:val="18"/>
      </w:rPr>
    </w:lvl>
    <w:lvl w:ilvl="1" w:tplc="0C090005">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2"/>
  </w:num>
  <w:num w:numId="23">
    <w:abstractNumId w:val="22"/>
  </w:num>
  <w:num w:numId="24">
    <w:abstractNumId w:val="16"/>
  </w:num>
  <w:num w:numId="25">
    <w:abstractNumId w:val="15"/>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65E9"/>
    <w:rsid w:val="000841F0"/>
    <w:rsid w:val="0009024C"/>
    <w:rsid w:val="000A4EA0"/>
    <w:rsid w:val="000A6ABE"/>
    <w:rsid w:val="000B0A44"/>
    <w:rsid w:val="000B6F96"/>
    <w:rsid w:val="000C5064"/>
    <w:rsid w:val="000C6ACF"/>
    <w:rsid w:val="000D3174"/>
    <w:rsid w:val="000F3AD5"/>
    <w:rsid w:val="000F65F5"/>
    <w:rsid w:val="000F737A"/>
    <w:rsid w:val="0013465E"/>
    <w:rsid w:val="00144452"/>
    <w:rsid w:val="001451B9"/>
    <w:rsid w:val="00155766"/>
    <w:rsid w:val="001567D0"/>
    <w:rsid w:val="00157E06"/>
    <w:rsid w:val="00160A6B"/>
    <w:rsid w:val="00161D4F"/>
    <w:rsid w:val="001779BF"/>
    <w:rsid w:val="00192605"/>
    <w:rsid w:val="0019340B"/>
    <w:rsid w:val="001D3A1C"/>
    <w:rsid w:val="001D76C5"/>
    <w:rsid w:val="00226D55"/>
    <w:rsid w:val="00241073"/>
    <w:rsid w:val="00252540"/>
    <w:rsid w:val="00261292"/>
    <w:rsid w:val="0026749F"/>
    <w:rsid w:val="00270163"/>
    <w:rsid w:val="0028089E"/>
    <w:rsid w:val="00285B26"/>
    <w:rsid w:val="00290492"/>
    <w:rsid w:val="002A471E"/>
    <w:rsid w:val="002B007E"/>
    <w:rsid w:val="002B6FEE"/>
    <w:rsid w:val="002C05E5"/>
    <w:rsid w:val="002E78F4"/>
    <w:rsid w:val="002F2150"/>
    <w:rsid w:val="002F5BEA"/>
    <w:rsid w:val="00304E41"/>
    <w:rsid w:val="00306C56"/>
    <w:rsid w:val="00333514"/>
    <w:rsid w:val="003372DA"/>
    <w:rsid w:val="003566C9"/>
    <w:rsid w:val="0036440F"/>
    <w:rsid w:val="00370969"/>
    <w:rsid w:val="00374139"/>
    <w:rsid w:val="00392F69"/>
    <w:rsid w:val="003A42FF"/>
    <w:rsid w:val="003A73DB"/>
    <w:rsid w:val="003C24ED"/>
    <w:rsid w:val="003D2A82"/>
    <w:rsid w:val="003D3CBD"/>
    <w:rsid w:val="003D50A2"/>
    <w:rsid w:val="003F5430"/>
    <w:rsid w:val="00413C8C"/>
    <w:rsid w:val="00416C3D"/>
    <w:rsid w:val="00433521"/>
    <w:rsid w:val="00433F68"/>
    <w:rsid w:val="0043620D"/>
    <w:rsid w:val="0044627A"/>
    <w:rsid w:val="004574B1"/>
    <w:rsid w:val="00461C46"/>
    <w:rsid w:val="00466D3C"/>
    <w:rsid w:val="004819A9"/>
    <w:rsid w:val="004925C6"/>
    <w:rsid w:val="00492C50"/>
    <w:rsid w:val="004A1CF7"/>
    <w:rsid w:val="004A41EF"/>
    <w:rsid w:val="004B4BE7"/>
    <w:rsid w:val="004B7DB5"/>
    <w:rsid w:val="004D0B2D"/>
    <w:rsid w:val="004D563A"/>
    <w:rsid w:val="004D68C7"/>
    <w:rsid w:val="00504046"/>
    <w:rsid w:val="0050454E"/>
    <w:rsid w:val="005155A2"/>
    <w:rsid w:val="005356F6"/>
    <w:rsid w:val="00543B12"/>
    <w:rsid w:val="00554AC8"/>
    <w:rsid w:val="005739DA"/>
    <w:rsid w:val="0058522A"/>
    <w:rsid w:val="005A0F57"/>
    <w:rsid w:val="005A1C74"/>
    <w:rsid w:val="005B7346"/>
    <w:rsid w:val="005E0ECB"/>
    <w:rsid w:val="005E18DA"/>
    <w:rsid w:val="005E26A0"/>
    <w:rsid w:val="005E335B"/>
    <w:rsid w:val="005E6287"/>
    <w:rsid w:val="005E7CC3"/>
    <w:rsid w:val="005F2504"/>
    <w:rsid w:val="00605928"/>
    <w:rsid w:val="00622483"/>
    <w:rsid w:val="00630C3D"/>
    <w:rsid w:val="00637F0D"/>
    <w:rsid w:val="00640F84"/>
    <w:rsid w:val="00666385"/>
    <w:rsid w:val="00666FEB"/>
    <w:rsid w:val="006748E6"/>
    <w:rsid w:val="006854CE"/>
    <w:rsid w:val="00691A72"/>
    <w:rsid w:val="00693261"/>
    <w:rsid w:val="00694562"/>
    <w:rsid w:val="006A0DDE"/>
    <w:rsid w:val="006E1D80"/>
    <w:rsid w:val="006F7C1C"/>
    <w:rsid w:val="00711C93"/>
    <w:rsid w:val="007250F1"/>
    <w:rsid w:val="00726E5A"/>
    <w:rsid w:val="00737E63"/>
    <w:rsid w:val="00742128"/>
    <w:rsid w:val="00753EA1"/>
    <w:rsid w:val="00793207"/>
    <w:rsid w:val="00796D84"/>
    <w:rsid w:val="007C2DEB"/>
    <w:rsid w:val="007D5238"/>
    <w:rsid w:val="0080519D"/>
    <w:rsid w:val="008079E9"/>
    <w:rsid w:val="00816856"/>
    <w:rsid w:val="008324A6"/>
    <w:rsid w:val="00846AF5"/>
    <w:rsid w:val="008743F4"/>
    <w:rsid w:val="0088053A"/>
    <w:rsid w:val="008A2ECB"/>
    <w:rsid w:val="008C0B57"/>
    <w:rsid w:val="008D0A7B"/>
    <w:rsid w:val="008E144B"/>
    <w:rsid w:val="008E32B1"/>
    <w:rsid w:val="008E5640"/>
    <w:rsid w:val="008F6BB3"/>
    <w:rsid w:val="00904BFC"/>
    <w:rsid w:val="0093403F"/>
    <w:rsid w:val="0094007F"/>
    <w:rsid w:val="00945408"/>
    <w:rsid w:val="00946EB7"/>
    <w:rsid w:val="00952A49"/>
    <w:rsid w:val="009558DE"/>
    <w:rsid w:val="00955E93"/>
    <w:rsid w:val="00964696"/>
    <w:rsid w:val="009732C7"/>
    <w:rsid w:val="0098336B"/>
    <w:rsid w:val="009909CD"/>
    <w:rsid w:val="009B2394"/>
    <w:rsid w:val="009E1E00"/>
    <w:rsid w:val="009F7232"/>
    <w:rsid w:val="00A24944"/>
    <w:rsid w:val="00A26119"/>
    <w:rsid w:val="00A41CAA"/>
    <w:rsid w:val="00A97B98"/>
    <w:rsid w:val="00AA0085"/>
    <w:rsid w:val="00AC349D"/>
    <w:rsid w:val="00AE0CDE"/>
    <w:rsid w:val="00AE57D9"/>
    <w:rsid w:val="00B04173"/>
    <w:rsid w:val="00B11D1C"/>
    <w:rsid w:val="00B22F69"/>
    <w:rsid w:val="00B45B36"/>
    <w:rsid w:val="00B81380"/>
    <w:rsid w:val="00B9029E"/>
    <w:rsid w:val="00B92BA1"/>
    <w:rsid w:val="00BB4454"/>
    <w:rsid w:val="00BC1F96"/>
    <w:rsid w:val="00BD0125"/>
    <w:rsid w:val="00BD1A39"/>
    <w:rsid w:val="00BD5EE7"/>
    <w:rsid w:val="00BD7151"/>
    <w:rsid w:val="00BE7E67"/>
    <w:rsid w:val="00C00627"/>
    <w:rsid w:val="00C01FE0"/>
    <w:rsid w:val="00C02D56"/>
    <w:rsid w:val="00C1502C"/>
    <w:rsid w:val="00C1764E"/>
    <w:rsid w:val="00C30D00"/>
    <w:rsid w:val="00C43A9A"/>
    <w:rsid w:val="00C51F9A"/>
    <w:rsid w:val="00C53F50"/>
    <w:rsid w:val="00C54809"/>
    <w:rsid w:val="00C56758"/>
    <w:rsid w:val="00C57CDD"/>
    <w:rsid w:val="00C57DC2"/>
    <w:rsid w:val="00C824C8"/>
    <w:rsid w:val="00CA1BFF"/>
    <w:rsid w:val="00CA51CE"/>
    <w:rsid w:val="00CC2910"/>
    <w:rsid w:val="00CD0FAA"/>
    <w:rsid w:val="00CE0E01"/>
    <w:rsid w:val="00CE6DBA"/>
    <w:rsid w:val="00CF4F36"/>
    <w:rsid w:val="00D018ED"/>
    <w:rsid w:val="00D12351"/>
    <w:rsid w:val="00D17A5D"/>
    <w:rsid w:val="00D2693E"/>
    <w:rsid w:val="00D27E3C"/>
    <w:rsid w:val="00D31815"/>
    <w:rsid w:val="00D41433"/>
    <w:rsid w:val="00D64648"/>
    <w:rsid w:val="00D73B71"/>
    <w:rsid w:val="00DB1EC4"/>
    <w:rsid w:val="00DB2B84"/>
    <w:rsid w:val="00DB4B3C"/>
    <w:rsid w:val="00DC1833"/>
    <w:rsid w:val="00DC3A58"/>
    <w:rsid w:val="00DC52F5"/>
    <w:rsid w:val="00DC7DA2"/>
    <w:rsid w:val="00DD1D21"/>
    <w:rsid w:val="00DD51A8"/>
    <w:rsid w:val="00DF2D28"/>
    <w:rsid w:val="00E113D8"/>
    <w:rsid w:val="00E25745"/>
    <w:rsid w:val="00E327A3"/>
    <w:rsid w:val="00E41C0A"/>
    <w:rsid w:val="00E4353E"/>
    <w:rsid w:val="00E44502"/>
    <w:rsid w:val="00E449D0"/>
    <w:rsid w:val="00E5490A"/>
    <w:rsid w:val="00E721B6"/>
    <w:rsid w:val="00E81900"/>
    <w:rsid w:val="00EA7315"/>
    <w:rsid w:val="00EB3C04"/>
    <w:rsid w:val="00ED3190"/>
    <w:rsid w:val="00ED3A00"/>
    <w:rsid w:val="00EE0075"/>
    <w:rsid w:val="00EE0DE1"/>
    <w:rsid w:val="00EF0533"/>
    <w:rsid w:val="00F149AA"/>
    <w:rsid w:val="00F24EC9"/>
    <w:rsid w:val="00F33CCB"/>
    <w:rsid w:val="00F359BA"/>
    <w:rsid w:val="00F40210"/>
    <w:rsid w:val="00F4271F"/>
    <w:rsid w:val="00F45180"/>
    <w:rsid w:val="00F47CDC"/>
    <w:rsid w:val="00F71C27"/>
    <w:rsid w:val="00F81088"/>
    <w:rsid w:val="00F83152"/>
    <w:rsid w:val="00FC23D9"/>
    <w:rsid w:val="00FC2705"/>
    <w:rsid w:val="00FD2DFE"/>
    <w:rsid w:val="00FE3AAC"/>
    <w:rsid w:val="00FE442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CE5C4A-AE9A-47BD-A867-3136730F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4562"/>
    <w:pPr>
      <w:spacing w:line="276" w:lineRule="auto"/>
    </w:pPr>
  </w:style>
  <w:style w:type="character" w:customStyle="1" w:styleId="ParagraphChar">
    <w:name w:val="Paragraph Char"/>
    <w:basedOn w:val="DefaultParagraphFont"/>
    <w:link w:val="Paragraph"/>
    <w:locked/>
    <w:rsid w:val="00694562"/>
  </w:style>
  <w:style w:type="paragraph" w:customStyle="1" w:styleId="ListItem">
    <w:name w:val="List Item"/>
    <w:basedOn w:val="Paragraph"/>
    <w:link w:val="ListItemChar"/>
    <w:qFormat/>
    <w:rsid w:val="005356F6"/>
    <w:pPr>
      <w:numPr>
        <w:numId w:val="21"/>
      </w:numPr>
      <w:spacing w:before="120"/>
      <w:ind w:left="426" w:hanging="426"/>
    </w:pPr>
    <w:rPr>
      <w:rFonts w:eastAsia="Franklin Gothic Book"/>
      <w:lang w:eastAsia="en-AU"/>
    </w:rPr>
  </w:style>
  <w:style w:type="character" w:customStyle="1" w:styleId="ListItemChar">
    <w:name w:val="List Item Char"/>
    <w:basedOn w:val="DefaultParagraphFont"/>
    <w:link w:val="ListItem"/>
    <w:rsid w:val="005356F6"/>
    <w:rPr>
      <w:rFonts w:eastAsia="Franklin Gothic Book"/>
      <w:lang w:eastAsia="en-AU"/>
    </w:rPr>
  </w:style>
  <w:style w:type="paragraph" w:customStyle="1" w:styleId="Default">
    <w:name w:val="Default"/>
    <w:rsid w:val="00CA1BF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D8CD-2F93-4A43-B8A7-87A1AEDF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13</cp:revision>
  <cp:lastPrinted>2016-08-25T03:47:00Z</cp:lastPrinted>
  <dcterms:created xsi:type="dcterms:W3CDTF">2016-03-11T02:07:00Z</dcterms:created>
  <dcterms:modified xsi:type="dcterms:W3CDTF">2016-08-25T03:47:00Z</dcterms:modified>
</cp:coreProperties>
</file>